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FC4B48">
      <w:pPr>
        <w:spacing w:line="300" w:lineRule="auto"/>
        <w:ind w:firstLine="0"/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E397AF6" wp14:editId="6E2EF6FF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E1" w:rsidRPr="000B3EE1" w:rsidRDefault="000B3EE1" w:rsidP="000B3EE1">
      <w:pPr>
        <w:pStyle w:val="a3"/>
        <w:shd w:val="clear" w:color="auto" w:fill="FFFFFF"/>
        <w:spacing w:before="0" w:beforeAutospacing="0" w:after="0" w:afterAutospacing="0" w:line="300" w:lineRule="auto"/>
        <w:ind w:firstLine="0"/>
        <w:jc w:val="center"/>
        <w:rPr>
          <w:b/>
          <w:color w:val="2E2E2E"/>
          <w:sz w:val="26"/>
          <w:szCs w:val="26"/>
        </w:rPr>
      </w:pPr>
      <w:bookmarkStart w:id="0" w:name="_GoBack"/>
      <w:bookmarkEnd w:id="0"/>
      <w:r w:rsidRPr="000B3EE1">
        <w:rPr>
          <w:b/>
          <w:color w:val="2E2E2E"/>
          <w:sz w:val="26"/>
          <w:szCs w:val="26"/>
        </w:rPr>
        <w:t xml:space="preserve">Кадастровая палата рассказала </w:t>
      </w:r>
      <w:proofErr w:type="spellStart"/>
      <w:r w:rsidRPr="000B3EE1">
        <w:rPr>
          <w:b/>
          <w:color w:val="2E2E2E"/>
          <w:sz w:val="26"/>
          <w:szCs w:val="26"/>
        </w:rPr>
        <w:t>волгоградцам</w:t>
      </w:r>
      <w:proofErr w:type="spellEnd"/>
      <w:r w:rsidRPr="000B3EE1">
        <w:rPr>
          <w:b/>
          <w:color w:val="2E2E2E"/>
          <w:sz w:val="26"/>
          <w:szCs w:val="26"/>
        </w:rPr>
        <w:t xml:space="preserve"> о возможностях Публичной кадастровой карты</w:t>
      </w:r>
    </w:p>
    <w:p w:rsidR="000B3EE1" w:rsidRPr="000B3EE1" w:rsidRDefault="000B3EE1" w:rsidP="000B3EE1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color w:val="2E2E2E"/>
          <w:sz w:val="26"/>
          <w:szCs w:val="26"/>
        </w:rPr>
      </w:pPr>
      <w:r w:rsidRPr="000B3EE1">
        <w:rPr>
          <w:b/>
          <w:color w:val="2E2E2E"/>
          <w:sz w:val="26"/>
          <w:szCs w:val="26"/>
        </w:rPr>
        <w:t xml:space="preserve">Получить общедоступные сведения из Единого государственного реестра недвижимости (ЕГРН) </w:t>
      </w:r>
      <w:proofErr w:type="spellStart"/>
      <w:r w:rsidRPr="000B3EE1">
        <w:rPr>
          <w:b/>
          <w:color w:val="2E2E2E"/>
          <w:sz w:val="26"/>
          <w:szCs w:val="26"/>
        </w:rPr>
        <w:t>волгоградцы</w:t>
      </w:r>
      <w:proofErr w:type="spellEnd"/>
      <w:r w:rsidRPr="000B3EE1">
        <w:rPr>
          <w:b/>
          <w:color w:val="2E2E2E"/>
          <w:sz w:val="26"/>
          <w:szCs w:val="26"/>
        </w:rPr>
        <w:t xml:space="preserve"> могут с помощью онлайн-сервиса </w:t>
      </w:r>
      <w:proofErr w:type="spellStart"/>
      <w:r w:rsidRPr="000B3EE1">
        <w:rPr>
          <w:b/>
          <w:color w:val="2E2E2E"/>
          <w:sz w:val="26"/>
          <w:szCs w:val="26"/>
        </w:rPr>
        <w:t>Росреестра</w:t>
      </w:r>
      <w:proofErr w:type="spellEnd"/>
      <w:r w:rsidRPr="000B3EE1">
        <w:rPr>
          <w:b/>
          <w:color w:val="2E2E2E"/>
          <w:sz w:val="26"/>
          <w:szCs w:val="26"/>
        </w:rPr>
        <w:t xml:space="preserve"> «</w:t>
      </w:r>
      <w:hyperlink r:id="rId9" w:history="1">
        <w:r w:rsidRPr="000B3EE1">
          <w:rPr>
            <w:rStyle w:val="a5"/>
            <w:b/>
            <w:sz w:val="26"/>
            <w:szCs w:val="26"/>
          </w:rPr>
          <w:t>Публичная кадастровая карта</w:t>
        </w:r>
      </w:hyperlink>
      <w:r w:rsidRPr="000B3EE1">
        <w:rPr>
          <w:b/>
          <w:color w:val="2E2E2E"/>
          <w:sz w:val="26"/>
          <w:szCs w:val="26"/>
        </w:rPr>
        <w:t>». Новые пользователи могут перейти в режим обучения для ознакомления с возможностями сервиса.</w:t>
      </w:r>
    </w:p>
    <w:p w:rsidR="000B3EE1" w:rsidRPr="000B3EE1" w:rsidRDefault="000B3EE1" w:rsidP="000B3EE1">
      <w:pPr>
        <w:pStyle w:val="a3"/>
        <w:shd w:val="clear" w:color="auto" w:fill="FFFFFF"/>
        <w:spacing w:before="0" w:beforeAutospacing="0" w:after="0" w:afterAutospacing="0" w:line="300" w:lineRule="auto"/>
        <w:rPr>
          <w:color w:val="2E2E2E"/>
          <w:sz w:val="26"/>
          <w:szCs w:val="26"/>
        </w:rPr>
      </w:pPr>
      <w:r w:rsidRPr="000B3EE1">
        <w:rPr>
          <w:sz w:val="26"/>
          <w:szCs w:val="26"/>
        </w:rPr>
        <w:t xml:space="preserve">Сервис «Публичная кадастровая карта» 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ЕГРН. С поступлением в </w:t>
      </w:r>
      <w:proofErr w:type="spellStart"/>
      <w:r w:rsidRPr="000B3EE1">
        <w:rPr>
          <w:sz w:val="26"/>
          <w:szCs w:val="26"/>
        </w:rPr>
        <w:t>госреестр</w:t>
      </w:r>
      <w:proofErr w:type="spellEnd"/>
      <w:r w:rsidRPr="000B3EE1">
        <w:rPr>
          <w:sz w:val="26"/>
          <w:szCs w:val="26"/>
        </w:rPr>
        <w:t xml:space="preserve"> новых сведений также обновляются данные публичной кадастровой карты. Это позволяет оперативно отслеживать изменения на рынке недвижимости и располагать актуальными общедоступными сведениями ЕГРН в интерактивном режиме.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sz w:val="26"/>
          <w:szCs w:val="26"/>
        </w:rPr>
        <w:t xml:space="preserve">Сервис содержит широкий выбор различных инструментов, настраиваемые слои и ссылки на взаимосвязанные ресурсы. Благодаря этому </w:t>
      </w:r>
      <w:proofErr w:type="spellStart"/>
      <w:r w:rsidRPr="000B3EE1">
        <w:rPr>
          <w:rFonts w:ascii="Times New Roman" w:hAnsi="Times New Roman" w:cs="Times New Roman"/>
          <w:sz w:val="26"/>
          <w:szCs w:val="26"/>
        </w:rPr>
        <w:t>волгоградцы</w:t>
      </w:r>
      <w:proofErr w:type="spellEnd"/>
      <w:r w:rsidRPr="000B3EE1">
        <w:rPr>
          <w:rFonts w:ascii="Times New Roman" w:hAnsi="Times New Roman" w:cs="Times New Roman"/>
          <w:sz w:val="26"/>
          <w:szCs w:val="26"/>
        </w:rPr>
        <w:t xml:space="preserve"> могут в интерактивном режиме не только получать общедоступные сведения об объектах из ЕГРН в режиме онлайн, но и работать с пространственными данными: измерять расстояния между объектами, рассчитывать площадь, определять координаты точки на местности. Возможности сервиса позволяют распечатать нужный фрагмент с комментариями, а также поделиться ссылкой на него в </w:t>
      </w:r>
      <w:proofErr w:type="spellStart"/>
      <w:r w:rsidRPr="000B3EE1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Pr="000B3E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sz w:val="26"/>
          <w:szCs w:val="26"/>
        </w:rPr>
        <w:t xml:space="preserve">Также можно получить общедоступные сведения о территориях объектов культурного наследия (памятников истории и культуры), территориях опережающего социально-экономического развития, зонах территориального развития, игорных зонах, лесничествах и лесопарках, охотничьих угодьях, водных объектах, особо охраняемых природных территориях. Доступен поиск и просмотр информации о результатах государственного мониторинга земель. В информационной карточке объекта недвижимости можно ознакомиться с датой определения, внесения, утверждения и применения кадастровой стоимости. 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sz w:val="26"/>
          <w:szCs w:val="26"/>
        </w:rPr>
        <w:t xml:space="preserve">При отсутствии результатов поиска пользователь получает ссылку с предложением продолжить поиск объекта недвижимости в соответствующем кадастровом округе, кадастровом районе, кадастровом квартале. 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sz w:val="26"/>
          <w:szCs w:val="26"/>
        </w:rPr>
        <w:t xml:space="preserve">Пользователи сервиса «Публичная кадастровая карта» могут узнать кадастровый </w:t>
      </w:r>
      <w:r w:rsidRPr="000B3EE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</w:t>
      </w:r>
      <w:r w:rsidRPr="000B3EE1">
        <w:rPr>
          <w:rFonts w:ascii="Times New Roman" w:hAnsi="Times New Roman" w:cs="Times New Roman"/>
          <w:sz w:val="26"/>
          <w:szCs w:val="26"/>
        </w:rPr>
        <w:t xml:space="preserve">, кадастровую стоимость объектов недвижимости, получить сведения о форме </w:t>
      </w:r>
      <w:r w:rsidRPr="000B3E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собственности, виде разрешенного использования, назначении</w:t>
      </w:r>
      <w:r w:rsidRPr="000B3EE1">
        <w:rPr>
          <w:rFonts w:ascii="Times New Roman" w:hAnsi="Times New Roman" w:cs="Times New Roman"/>
          <w:sz w:val="26"/>
          <w:szCs w:val="26"/>
        </w:rPr>
        <w:t xml:space="preserve">, </w:t>
      </w:r>
      <w:r w:rsidRPr="000B3EE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площади объектов недвижимости.</w:t>
      </w:r>
      <w:r w:rsidRPr="000B3EE1">
        <w:rPr>
          <w:rFonts w:ascii="Times New Roman" w:hAnsi="Times New Roman" w:cs="Times New Roman"/>
          <w:sz w:val="26"/>
          <w:szCs w:val="26"/>
        </w:rPr>
        <w:t xml:space="preserve"> На публичной кадастровой карте можно увидеть </w:t>
      </w:r>
      <w:r w:rsidRPr="000B3EE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государственные</w:t>
      </w:r>
      <w:r w:rsidRPr="000B3EE1">
        <w:rPr>
          <w:rFonts w:ascii="Times New Roman" w:hAnsi="Times New Roman" w:cs="Times New Roman"/>
          <w:sz w:val="26"/>
          <w:szCs w:val="26"/>
        </w:rPr>
        <w:t xml:space="preserve"> г</w:t>
      </w:r>
      <w:r w:rsidRPr="000B3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раницы, </w:t>
      </w:r>
      <w:r w:rsidRPr="000B3EE1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Pr="000B3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субъектами РФ, муниципальных </w:t>
      </w:r>
      <w:r w:rsidRPr="000B3E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образований и населенных пунктов, границы зон с особыми условиями использования территории, территориальных и других зон, земельных участков</w:t>
      </w:r>
      <w:r w:rsidRPr="000B3EE1">
        <w:rPr>
          <w:rFonts w:ascii="Times New Roman" w:hAnsi="Times New Roman" w:cs="Times New Roman"/>
          <w:sz w:val="26"/>
          <w:szCs w:val="26"/>
        </w:rPr>
        <w:t>, а также р</w:t>
      </w:r>
      <w:r w:rsidRPr="000B3EE1">
        <w:rPr>
          <w:rFonts w:ascii="Times New Roman" w:eastAsia="Times New Roman" w:hAnsi="Times New Roman" w:cs="Times New Roman"/>
          <w:sz w:val="26"/>
          <w:szCs w:val="26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 w:rsidRPr="000B3EE1">
        <w:rPr>
          <w:rFonts w:ascii="Times New Roman" w:hAnsi="Times New Roman" w:cs="Times New Roman"/>
          <w:sz w:val="26"/>
          <w:szCs w:val="26"/>
        </w:rPr>
        <w:t>а, единые недвижимые комплексы), к</w:t>
      </w:r>
      <w:r w:rsidRPr="000B3EE1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онтуры зданий, сооружений и объектов незавершенного строительства</w:t>
      </w:r>
      <w:r w:rsidRPr="000B3E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sz w:val="26"/>
          <w:szCs w:val="26"/>
        </w:rPr>
        <w:t>Искать объект недвижимости на карте можно как вручную, с помощью компьютерной мыши и управления масштабом карты, так и задав параметры поиска в системе. Например, чтобы получить сведения об объекте, достаточно создать поисковый запрос по кадастровому номеру или адресу.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июне 2021 года на базе Публичной кадастровой карты </w:t>
      </w:r>
      <w:proofErr w:type="spellStart"/>
      <w:r w:rsidRPr="000B3E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Росреестр</w:t>
      </w:r>
      <w:proofErr w:type="spellEnd"/>
      <w:r w:rsidRPr="000B3E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запустил новый онлайн-сервис «Земля для стройки». Цифровой сервис обеспечит быстрый доступ к информационному полю публичной кадастровой карты, где в режиме онлайн заинтересованное лицо сможет получить необходимые сведения о выбранном земельном участке, упростит процесс приобретения земельного участка. Также поможет инвесторам и застройщикам планировать свою деятельность, эффективно управлять землей и недвижимостью, увеличивать объемы строительства и инвестиций, тем самым повышая комфортность городской среды для проживания людей и инвестиционную привлекательность региона.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0B3EE1">
        <w:rPr>
          <w:rFonts w:ascii="Times New Roman" w:hAnsi="Times New Roman" w:cs="Times New Roman"/>
          <w:sz w:val="26"/>
          <w:szCs w:val="26"/>
        </w:rPr>
        <w:t>Сведения ЕГРН, представленные на сервисе, являются общедоступными и предоставляются пользователям на безвозмездной основе.</w:t>
      </w:r>
    </w:p>
    <w:p w:rsidR="000B3EE1" w:rsidRPr="000B3EE1" w:rsidRDefault="000B3EE1" w:rsidP="000B3EE1">
      <w:pPr>
        <w:spacing w:line="30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B3EE1">
        <w:rPr>
          <w:rFonts w:ascii="Times New Roman" w:hAnsi="Times New Roman" w:cs="Times New Roman"/>
          <w:sz w:val="26"/>
          <w:szCs w:val="26"/>
        </w:rPr>
        <w:t>«</w:t>
      </w:r>
      <w:r w:rsidRPr="000B3EE1">
        <w:rPr>
          <w:rFonts w:ascii="Times New Roman" w:hAnsi="Times New Roman" w:cs="Times New Roman"/>
          <w:i/>
          <w:sz w:val="26"/>
          <w:szCs w:val="26"/>
        </w:rPr>
        <w:t xml:space="preserve">Сведения, представленные на сервисе «Публичная кадастровая карта», можно использовать в качестве справочной информации. Для подтверждения данных можно запросить сведения из ЕГРН. Заказать выписку из реестра можно в МФЦ, с помощью онлайн-сервиса Федеральной кадастровой палаты или портала </w:t>
      </w:r>
      <w:proofErr w:type="spellStart"/>
      <w:r w:rsidRPr="000B3EE1">
        <w:rPr>
          <w:rFonts w:ascii="Times New Roman" w:hAnsi="Times New Roman" w:cs="Times New Roman"/>
          <w:i/>
          <w:sz w:val="26"/>
          <w:szCs w:val="26"/>
        </w:rPr>
        <w:t>Росреестра</w:t>
      </w:r>
      <w:proofErr w:type="spellEnd"/>
      <w:r w:rsidRPr="000B3EE1">
        <w:rPr>
          <w:rFonts w:ascii="Times New Roman" w:hAnsi="Times New Roman" w:cs="Times New Roman"/>
          <w:i/>
          <w:sz w:val="26"/>
          <w:szCs w:val="26"/>
        </w:rPr>
        <w:t>. Сведения можно получить как в бумажном, так и в электронном виде, при этом оба варианта имеют равную юридическую силу</w:t>
      </w:r>
      <w:r w:rsidRPr="000B3EE1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0B3EE1">
        <w:rPr>
          <w:rFonts w:ascii="Times New Roman" w:hAnsi="Times New Roman" w:cs="Times New Roman"/>
          <w:sz w:val="26"/>
          <w:szCs w:val="26"/>
        </w:rPr>
        <w:t>–</w:t>
      </w:r>
      <w:r w:rsidRPr="000B3E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B3EE1">
        <w:rPr>
          <w:rFonts w:ascii="Times New Roman" w:hAnsi="Times New Roman" w:cs="Times New Roman"/>
          <w:sz w:val="26"/>
          <w:szCs w:val="26"/>
        </w:rPr>
        <w:t xml:space="preserve">отмечает </w:t>
      </w:r>
      <w:r w:rsidRPr="000B3EE1">
        <w:rPr>
          <w:rFonts w:ascii="Times New Roman" w:hAnsi="Times New Roman" w:cs="Times New Roman"/>
          <w:b/>
          <w:sz w:val="26"/>
          <w:szCs w:val="26"/>
        </w:rPr>
        <w:t xml:space="preserve">директор Кадастровой палаты по Волгоградской области Константин </w:t>
      </w:r>
      <w:proofErr w:type="spellStart"/>
      <w:r w:rsidRPr="000B3EE1">
        <w:rPr>
          <w:rFonts w:ascii="Times New Roman" w:hAnsi="Times New Roman" w:cs="Times New Roman"/>
          <w:b/>
          <w:sz w:val="26"/>
          <w:szCs w:val="26"/>
        </w:rPr>
        <w:t>Миндигаяс</w:t>
      </w:r>
      <w:proofErr w:type="spellEnd"/>
      <w:r w:rsidRPr="000B3EE1">
        <w:rPr>
          <w:rFonts w:ascii="Times New Roman" w:hAnsi="Times New Roman" w:cs="Times New Roman"/>
          <w:b/>
          <w:sz w:val="26"/>
          <w:szCs w:val="26"/>
        </w:rPr>
        <w:t>.</w:t>
      </w:r>
      <w:r w:rsidRPr="000B3E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C4B48" w:rsidRDefault="00FC4B48" w:rsidP="000B3EE1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C4B48">
        <w:rPr>
          <w:rStyle w:val="a5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1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sectPr w:rsidR="00FC4B48" w:rsidRPr="00FC4B48" w:rsidSect="00D46179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9F" w:rsidRDefault="00961A9F" w:rsidP="00D46179">
      <w:pPr>
        <w:spacing w:line="240" w:lineRule="auto"/>
      </w:pPr>
      <w:r>
        <w:separator/>
      </w:r>
    </w:p>
  </w:endnote>
  <w:endnote w:type="continuationSeparator" w:id="0">
    <w:p w:rsidR="00961A9F" w:rsidRDefault="00961A9F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9F" w:rsidRDefault="00961A9F" w:rsidP="00D46179">
      <w:pPr>
        <w:spacing w:line="240" w:lineRule="auto"/>
      </w:pPr>
      <w:r>
        <w:separator/>
      </w:r>
    </w:p>
  </w:footnote>
  <w:footnote w:type="continuationSeparator" w:id="0">
    <w:p w:rsidR="00961A9F" w:rsidRDefault="00961A9F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B66DF7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57967"/>
    <w:rsid w:val="000B3EE1"/>
    <w:rsid w:val="00135CD3"/>
    <w:rsid w:val="00317A26"/>
    <w:rsid w:val="00743178"/>
    <w:rsid w:val="007A46FA"/>
    <w:rsid w:val="008B5E28"/>
    <w:rsid w:val="00946245"/>
    <w:rsid w:val="00961A9F"/>
    <w:rsid w:val="00A34D08"/>
    <w:rsid w:val="00A862BA"/>
    <w:rsid w:val="00AB04C5"/>
    <w:rsid w:val="00B66DF7"/>
    <w:rsid w:val="00BA100E"/>
    <w:rsid w:val="00C51AEF"/>
    <w:rsid w:val="00CA0346"/>
    <w:rsid w:val="00CF69A3"/>
    <w:rsid w:val="00D46179"/>
    <w:rsid w:val="00F26EFF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34_kadas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34kadas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kk5.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cp:lastPrinted>2021-08-03T10:18:00Z</cp:lastPrinted>
  <dcterms:created xsi:type="dcterms:W3CDTF">2021-08-03T11:26:00Z</dcterms:created>
  <dcterms:modified xsi:type="dcterms:W3CDTF">2021-08-03T11:33:00Z</dcterms:modified>
</cp:coreProperties>
</file>